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F87A" w14:textId="77777777" w:rsidR="003B2A54" w:rsidRPr="00570D18" w:rsidRDefault="00000000">
      <w:pPr>
        <w:rPr>
          <w:lang w:val="nb-NO"/>
        </w:rPr>
      </w:pPr>
      <w:r w:rsidRPr="00570D18">
        <w:rPr>
          <w:b/>
          <w:color w:val="1E88E5"/>
          <w:sz w:val="20"/>
          <w:lang w:val="nb-NO"/>
        </w:rPr>
        <w:t>DigTic</w:t>
      </w:r>
    </w:p>
    <w:p w14:paraId="0C4D293B" w14:textId="77777777" w:rsidR="003B2A54" w:rsidRPr="00570D18" w:rsidRDefault="00000000">
      <w:pPr>
        <w:pStyle w:val="Tittel"/>
        <w:rPr>
          <w:lang w:val="nb-NO"/>
        </w:rPr>
      </w:pPr>
      <w:r w:rsidRPr="00570D18">
        <w:rPr>
          <w:b w:val="0"/>
          <w:lang w:val="nb-NO"/>
        </w:rPr>
        <w:t>DigTic for IT-team</w:t>
      </w:r>
    </w:p>
    <w:p w14:paraId="073365CC" w14:textId="77777777" w:rsidR="003B2A54" w:rsidRPr="00570D18" w:rsidRDefault="00000000">
      <w:pPr>
        <w:rPr>
          <w:lang w:val="nb-NO"/>
        </w:rPr>
      </w:pPr>
      <w:r w:rsidRPr="00570D18">
        <w:rPr>
          <w:b/>
          <w:color w:val="4B5563"/>
          <w:sz w:val="20"/>
          <w:lang w:val="nb-NO"/>
        </w:rPr>
        <w:t>Teknisk guide for CTO, arkitekter og integrasjonsteam</w:t>
      </w:r>
    </w:p>
    <w:p w14:paraId="59D500C6" w14:textId="77777777" w:rsidR="003B2A54" w:rsidRDefault="00000000">
      <w:r>
        <w:rPr>
          <w:color w:val="4B5563"/>
          <w:sz w:val="17"/>
        </w:rPr>
        <w:t>24. april 2026</w:t>
      </w:r>
    </w:p>
    <w:p w14:paraId="5B8B9893" w14:textId="77777777" w:rsidR="003B2A54" w:rsidRDefault="003B2A5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3B2A54" w:rsidRPr="00570D18" w14:paraId="599A6357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156927C8" w14:textId="77777777" w:rsidR="003B2A54" w:rsidRDefault="00000000">
            <w:r>
              <w:rPr>
                <w:b/>
                <w:color w:val="0B1F3A"/>
                <w:sz w:val="17"/>
              </w:rPr>
              <w:t>Målgruppe</w:t>
            </w:r>
          </w:p>
        </w:tc>
        <w:tc>
          <w:tcPr>
            <w:tcW w:w="5184" w:type="dxa"/>
            <w:vAlign w:val="center"/>
          </w:tcPr>
          <w:p w14:paraId="7E27D81A" w14:textId="77777777" w:rsidR="003B2A54" w:rsidRPr="00570D18" w:rsidRDefault="00000000">
            <w:pPr>
              <w:rPr>
                <w:lang w:val="nb-NO"/>
              </w:rPr>
            </w:pPr>
            <w:r w:rsidRPr="00570D18">
              <w:rPr>
                <w:sz w:val="17"/>
                <w:lang w:val="nb-NO"/>
              </w:rPr>
              <w:t>CTO, arkitekter, integrasjonsteam og sikkerhetsinteressenter</w:t>
            </w:r>
          </w:p>
        </w:tc>
      </w:tr>
      <w:tr w:rsidR="003B2A54" w:rsidRPr="00570D18" w14:paraId="101AF926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12E1F13A" w14:textId="77777777" w:rsidR="003B2A54" w:rsidRDefault="00000000">
            <w:r>
              <w:rPr>
                <w:b/>
                <w:color w:val="0B1F3A"/>
                <w:sz w:val="17"/>
              </w:rPr>
              <w:t>Formål</w:t>
            </w:r>
          </w:p>
        </w:tc>
        <w:tc>
          <w:tcPr>
            <w:tcW w:w="5184" w:type="dxa"/>
            <w:vAlign w:val="center"/>
          </w:tcPr>
          <w:p w14:paraId="00EFF1C6" w14:textId="77777777" w:rsidR="003B2A54" w:rsidRPr="00570D18" w:rsidRDefault="00000000">
            <w:pPr>
              <w:rPr>
                <w:lang w:val="nb-NO"/>
              </w:rPr>
            </w:pPr>
            <w:r w:rsidRPr="00570D18">
              <w:rPr>
                <w:sz w:val="17"/>
                <w:lang w:val="nb-NO"/>
              </w:rPr>
              <w:t>Gjøre integrasjonsmodellen tydelig og lavrisiko</w:t>
            </w:r>
          </w:p>
        </w:tc>
      </w:tr>
      <w:tr w:rsidR="003B2A54" w:rsidRPr="00570D18" w14:paraId="1B83985D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75D4CD77" w14:textId="77777777" w:rsidR="003B2A54" w:rsidRDefault="00000000">
            <w:r>
              <w:rPr>
                <w:b/>
                <w:color w:val="0B1F3A"/>
                <w:sz w:val="17"/>
              </w:rPr>
              <w:t>Scope</w:t>
            </w:r>
          </w:p>
        </w:tc>
        <w:tc>
          <w:tcPr>
            <w:tcW w:w="5184" w:type="dxa"/>
            <w:vAlign w:val="center"/>
          </w:tcPr>
          <w:p w14:paraId="7FDB4F71" w14:textId="77777777" w:rsidR="003B2A54" w:rsidRPr="00570D18" w:rsidRDefault="00000000">
            <w:pPr>
              <w:rPr>
                <w:lang w:val="nb-NO"/>
              </w:rPr>
            </w:pPr>
            <w:r w:rsidRPr="00570D18">
              <w:rPr>
                <w:sz w:val="17"/>
                <w:lang w:val="nb-NO"/>
              </w:rPr>
              <w:t>Overordnet nivå, ingen sensitive implementasjonsdetaljer</w:t>
            </w:r>
          </w:p>
        </w:tc>
      </w:tr>
    </w:tbl>
    <w:p w14:paraId="2278FA6F" w14:textId="77777777" w:rsidR="003B2A54" w:rsidRPr="00570D18" w:rsidRDefault="003B2A54">
      <w:pPr>
        <w:rPr>
          <w:lang w:val="nb-NO"/>
        </w:rPr>
      </w:pPr>
    </w:p>
    <w:p w14:paraId="162C3537" w14:textId="77777777" w:rsidR="003B2A54" w:rsidRDefault="00000000">
      <w:pPr>
        <w:pStyle w:val="Overskrift1"/>
      </w:pPr>
      <w:r>
        <w:rPr>
          <w:b w:val="0"/>
        </w:rPr>
        <w:t>Teknisk oversikt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3B2A54" w:rsidRPr="00570D18" w14:paraId="26113043" w14:textId="77777777">
        <w:tc>
          <w:tcPr>
            <w:tcW w:w="10368" w:type="dxa"/>
            <w:shd w:val="clear" w:color="auto" w:fill="F4F8FC"/>
          </w:tcPr>
          <w:p w14:paraId="39023DFF" w14:textId="77777777" w:rsidR="003B2A54" w:rsidRPr="00570D18" w:rsidRDefault="00000000">
            <w:pPr>
              <w:rPr>
                <w:lang w:val="nb-NO"/>
              </w:rPr>
            </w:pPr>
            <w:r w:rsidRPr="00570D18">
              <w:rPr>
                <w:b/>
                <w:color w:val="0B1F3A"/>
                <w:sz w:val="20"/>
                <w:lang w:val="nb-NO"/>
              </w:rPr>
              <w:t>DigTic er API-first: partnere integrerer én gang, og kan deretter utstede og validere digital adgang på tvers av flere use cases.</w:t>
            </w:r>
          </w:p>
        </w:tc>
      </w:tr>
    </w:tbl>
    <w:p w14:paraId="7C753EE5" w14:textId="77777777" w:rsidR="003B2A54" w:rsidRPr="00570D18" w:rsidRDefault="00000000">
      <w:pPr>
        <w:rPr>
          <w:lang w:val="nb-NO"/>
        </w:rPr>
      </w:pPr>
      <w:r w:rsidRPr="00570D18">
        <w:rPr>
          <w:lang w:val="nb-NO"/>
        </w:rPr>
        <w:t>DigTic tilbyr et standardisert tilgangslag over eksisterende systemer. Plattformen er laget for å integrere med partnernes løsninger, ikke erstatte dem.</w:t>
      </w:r>
    </w:p>
    <w:p w14:paraId="38FADF1D" w14:textId="77777777" w:rsidR="003B2A54" w:rsidRPr="00570D18" w:rsidRDefault="00000000">
      <w:pPr>
        <w:pStyle w:val="Overskrift1"/>
        <w:rPr>
          <w:lang w:val="nb-NO"/>
        </w:rPr>
      </w:pPr>
      <w:r w:rsidRPr="00570D18">
        <w:rPr>
          <w:b w:val="0"/>
          <w:lang w:val="nb-NO"/>
        </w:rPr>
        <w:t>Integrasjonsmodell</w:t>
      </w:r>
    </w:p>
    <w:p w14:paraId="0B4E2232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REST-lignende API for issue, validate, use og revoke-flyter.</w:t>
      </w:r>
    </w:p>
    <w:p w14:paraId="4F8296A7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Partnersystemer kaller DigTic fra booking-, event-, adgangs- eller hotellsystemer.</w:t>
      </w:r>
    </w:p>
    <w:p w14:paraId="5FDA713D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Tilgangsbevis kan leveres til Apple Wallet eller Google Wallet der det er relevant.</w:t>
      </w:r>
    </w:p>
    <w:p w14:paraId="5A371291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Webhooks og livssyklushendelser kan legges til for partnerflyter.</w:t>
      </w:r>
    </w:p>
    <w:p w14:paraId="0DD0239D" w14:textId="77777777" w:rsidR="003B2A54" w:rsidRPr="00570D18" w:rsidRDefault="00000000">
      <w:pPr>
        <w:pStyle w:val="Overskrift1"/>
        <w:rPr>
          <w:lang w:val="nb-NO"/>
        </w:rPr>
      </w:pPr>
      <w:r w:rsidRPr="00570D18">
        <w:rPr>
          <w:b w:val="0"/>
          <w:lang w:val="nb-NO"/>
        </w:rPr>
        <w:t>Sikkerhetsprofil</w:t>
      </w:r>
    </w:p>
    <w:p w14:paraId="04F2F6D6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Tenant-isolasjon håndheves av API-autorisering og tenant-scopet state.</w:t>
      </w:r>
    </w:p>
    <w:p w14:paraId="77F41714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Tilgangsbevis signeres og valideres før bruk.</w:t>
      </w:r>
    </w:p>
    <w:p w14:paraId="6A2641F7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Sensitive implementasjonsdetaljer holdes utenfor offentlig dokumentasjon.</w:t>
      </w:r>
    </w:p>
    <w:p w14:paraId="58BD898E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Audit-vennlige livssyklushendelser lagres for issue, validate, use og revoke.</w:t>
      </w:r>
    </w:p>
    <w:p w14:paraId="7A52EAD8" w14:textId="77777777" w:rsidR="003B2A54" w:rsidRPr="00570D18" w:rsidRDefault="00000000">
      <w:pPr>
        <w:pStyle w:val="Overskrift1"/>
        <w:rPr>
          <w:lang w:val="nb-NO"/>
        </w:rPr>
      </w:pPr>
      <w:r w:rsidRPr="00570D18">
        <w:rPr>
          <w:b w:val="0"/>
          <w:lang w:val="nb-NO"/>
        </w:rPr>
        <w:t>Data og GDPR-prinsipp</w:t>
      </w:r>
    </w:p>
    <w:p w14:paraId="5A084DA3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Bruk minst mulig persondata.</w:t>
      </w:r>
    </w:p>
    <w:p w14:paraId="0B975915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Lagre operasjonell state i EU.</w:t>
      </w:r>
    </w:p>
    <w:p w14:paraId="48413F90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Ikke legg persondata på offentlig proof-lag.</w:t>
      </w:r>
    </w:p>
    <w:p w14:paraId="0A30555A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Knytt adgangsbeslutninger til tenant, ticket state, gyldighet og bruksregler.</w:t>
      </w:r>
    </w:p>
    <w:p w14:paraId="7B470F98" w14:textId="77777777" w:rsidR="003B2A54" w:rsidRPr="00570D18" w:rsidRDefault="00000000">
      <w:pPr>
        <w:pStyle w:val="Overskrift1"/>
        <w:rPr>
          <w:lang w:val="nb-NO"/>
        </w:rPr>
      </w:pPr>
      <w:r w:rsidRPr="00570D18">
        <w:rPr>
          <w:b w:val="0"/>
          <w:lang w:val="nb-NO"/>
        </w:rPr>
        <w:t>Hva IT-team bør vite</w:t>
      </w:r>
    </w:p>
    <w:p w14:paraId="702E395F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Ingen rip-and-replace er nødvendig. DigTic ligger over eksisterende systemer.</w:t>
      </w:r>
    </w:p>
    <w:p w14:paraId="385BD4CB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lastRenderedPageBreak/>
        <w:t xml:space="preserve">• </w:t>
      </w:r>
      <w:r w:rsidRPr="00570D18">
        <w:rPr>
          <w:sz w:val="18"/>
          <w:lang w:val="nb-NO"/>
        </w:rPr>
        <w:t>En pilot kan starte med én endpoint-flyt og ett definert adgangsscenario.</w:t>
      </w:r>
    </w:p>
    <w:p w14:paraId="35FF3D26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API-modellen er laget for å gjøre senere integrasjoner raskere.</w:t>
      </w:r>
    </w:p>
    <w:p w14:paraId="1BD9A6A2" w14:textId="77777777" w:rsidR="003B2A54" w:rsidRPr="00570D18" w:rsidRDefault="00000000">
      <w:pPr>
        <w:ind w:left="259" w:hanging="173"/>
        <w:rPr>
          <w:lang w:val="nb-NO"/>
        </w:rPr>
      </w:pPr>
      <w:r w:rsidRPr="00570D18">
        <w:rPr>
          <w:b/>
          <w:color w:val="1E88E5"/>
          <w:sz w:val="18"/>
          <w:lang w:val="nb-NO"/>
        </w:rPr>
        <w:t xml:space="preserve">• </w:t>
      </w:r>
      <w:r w:rsidRPr="00570D18">
        <w:rPr>
          <w:sz w:val="18"/>
          <w:lang w:val="nb-NO"/>
        </w:rPr>
        <w:t>Fysiske nøkkelkort og adgangskort kan erstattes gradvis eller suppleres i en overgang.</w:t>
      </w:r>
    </w:p>
    <w:p w14:paraId="07DA67CD" w14:textId="77777777" w:rsidR="003B2A54" w:rsidRPr="00570D18" w:rsidRDefault="00000000">
      <w:pPr>
        <w:pStyle w:val="Overskrift1"/>
        <w:rPr>
          <w:lang w:val="nb-NO"/>
        </w:rPr>
      </w:pPr>
      <w:r w:rsidRPr="00570D18">
        <w:rPr>
          <w:b w:val="0"/>
          <w:lang w:val="nb-NO"/>
        </w:rPr>
        <w:t>Neste steg</w:t>
      </w:r>
    </w:p>
    <w:p w14:paraId="60CCD9DE" w14:textId="77777777" w:rsidR="003B2A54" w:rsidRPr="00570D18" w:rsidRDefault="00000000">
      <w:pPr>
        <w:rPr>
          <w:lang w:val="nb-NO"/>
        </w:rPr>
      </w:pPr>
      <w:r w:rsidRPr="00570D18">
        <w:rPr>
          <w:lang w:val="nb-NO"/>
        </w:rPr>
        <w:t>Start med en kort pilotdialog. Velg ett konkret use case, én partnerflyt og ett målbart resultat.</w:t>
      </w:r>
    </w:p>
    <w:sectPr w:rsidR="003B2A54" w:rsidRPr="00570D18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0A467" w14:textId="77777777" w:rsidR="00B104FB" w:rsidRDefault="00B104FB">
      <w:pPr>
        <w:spacing w:after="0" w:line="240" w:lineRule="auto"/>
      </w:pPr>
      <w:r>
        <w:separator/>
      </w:r>
    </w:p>
  </w:endnote>
  <w:endnote w:type="continuationSeparator" w:id="0">
    <w:p w14:paraId="70271071" w14:textId="77777777" w:rsidR="00B104FB" w:rsidRDefault="00B10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88CB8" w14:textId="77777777" w:rsidR="003B2A54" w:rsidRDefault="00000000">
    <w:pPr>
      <w:pStyle w:val="Bunntekst"/>
      <w:jc w:val="center"/>
    </w:pPr>
    <w:r>
      <w:rPr>
        <w:color w:val="4B5563"/>
        <w:sz w:val="16"/>
      </w:rPr>
      <w:t>DigTic AS | Digital Ticket &amp; Access Infrastructure |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C4664" w14:textId="77777777" w:rsidR="00B104FB" w:rsidRDefault="00B104FB">
      <w:pPr>
        <w:spacing w:after="0" w:line="240" w:lineRule="auto"/>
      </w:pPr>
      <w:r>
        <w:separator/>
      </w:r>
    </w:p>
  </w:footnote>
  <w:footnote w:type="continuationSeparator" w:id="0">
    <w:p w14:paraId="38CE8FAA" w14:textId="77777777" w:rsidR="00B104FB" w:rsidRDefault="00B10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6CE6" w14:textId="5DFD3513" w:rsidR="003B2A54" w:rsidRDefault="00570D18" w:rsidP="00570D18">
    <w:pPr>
      <w:pStyle w:val="Topptekst"/>
      <w:jc w:val="center"/>
    </w:pPr>
    <w:r>
      <w:rPr>
        <w:b/>
        <w:noProof/>
        <w:color w:val="1E88E5"/>
        <w:sz w:val="24"/>
      </w:rPr>
      <w:drawing>
        <wp:inline distT="0" distB="0" distL="0" distR="0" wp14:anchorId="55EA0C18" wp14:editId="0EDEC7AB">
          <wp:extent cx="1510748" cy="598442"/>
          <wp:effectExtent l="0" t="0" r="0" b="0"/>
          <wp:docPr id="79232023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109" cy="60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b/>
        <w:color w:val="1E88E5"/>
        <w:sz w:val="24"/>
      </w:rPr>
      <w:t>DigTic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7791763">
    <w:abstractNumId w:val="8"/>
  </w:num>
  <w:num w:numId="2" w16cid:durableId="912201102">
    <w:abstractNumId w:val="6"/>
  </w:num>
  <w:num w:numId="3" w16cid:durableId="1422485179">
    <w:abstractNumId w:val="5"/>
  </w:num>
  <w:num w:numId="4" w16cid:durableId="1086028874">
    <w:abstractNumId w:val="4"/>
  </w:num>
  <w:num w:numId="5" w16cid:durableId="839925201">
    <w:abstractNumId w:val="7"/>
  </w:num>
  <w:num w:numId="6" w16cid:durableId="2139184564">
    <w:abstractNumId w:val="3"/>
  </w:num>
  <w:num w:numId="7" w16cid:durableId="967783552">
    <w:abstractNumId w:val="2"/>
  </w:num>
  <w:num w:numId="8" w16cid:durableId="1199128230">
    <w:abstractNumId w:val="1"/>
  </w:num>
  <w:num w:numId="9" w16cid:durableId="84485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B2A54"/>
    <w:rsid w:val="00570D18"/>
    <w:rsid w:val="007C3C6E"/>
    <w:rsid w:val="00AA1D8D"/>
    <w:rsid w:val="00B104FB"/>
    <w:rsid w:val="00B47730"/>
    <w:rsid w:val="00CB0664"/>
    <w:rsid w:val="00CE79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2A35FE"/>
  <w14:defaultImageDpi w14:val="300"/>
  <w15:docId w15:val="{9A2586FE-874F-4574-BC85-CA5774DF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eastAsia="Aptos" w:hAnsi="Aptos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1F3A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E88E5"/>
      <w:sz w:val="2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1F3A"/>
      <w:spacing w:val="5"/>
      <w:kern w:val="28"/>
      <w:sz w:val="4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Halvard Balto</cp:lastModifiedBy>
  <cp:revision>3</cp:revision>
  <dcterms:created xsi:type="dcterms:W3CDTF">2026-04-24T14:56:00Z</dcterms:created>
  <dcterms:modified xsi:type="dcterms:W3CDTF">2026-04-24T14:56:00Z</dcterms:modified>
  <cp:category/>
</cp:coreProperties>
</file>