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F3DC0" w14:textId="77777777" w:rsidR="0014539B" w:rsidRDefault="00000000">
      <w:r>
        <w:rPr>
          <w:b/>
          <w:color w:val="1E88E5"/>
          <w:sz w:val="20"/>
        </w:rPr>
        <w:t>DigTic</w:t>
      </w:r>
    </w:p>
    <w:p w14:paraId="3000C392" w14:textId="77777777" w:rsidR="0014539B" w:rsidRDefault="00000000">
      <w:pPr>
        <w:pStyle w:val="Tittel"/>
      </w:pPr>
      <w:r>
        <w:rPr>
          <w:b w:val="0"/>
        </w:rPr>
        <w:t>DigTic for IT Teams</w:t>
      </w:r>
    </w:p>
    <w:p w14:paraId="285B8332" w14:textId="77777777" w:rsidR="0014539B" w:rsidRDefault="00000000">
      <w:r>
        <w:rPr>
          <w:b/>
          <w:color w:val="4B5563"/>
          <w:sz w:val="20"/>
        </w:rPr>
        <w:t>Technical guide for CTO, architects and integration teams</w:t>
      </w:r>
    </w:p>
    <w:p w14:paraId="59C4CFC2" w14:textId="77777777" w:rsidR="0014539B" w:rsidRDefault="00000000">
      <w:r>
        <w:rPr>
          <w:color w:val="4B5563"/>
          <w:sz w:val="17"/>
        </w:rPr>
        <w:t>24 April 2026</w:t>
      </w:r>
    </w:p>
    <w:p w14:paraId="6E6320F6" w14:textId="77777777" w:rsidR="0014539B" w:rsidRDefault="0014539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14539B" w14:paraId="52E604B8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6BF47540" w14:textId="77777777" w:rsidR="0014539B" w:rsidRDefault="00000000">
            <w:r>
              <w:rPr>
                <w:b/>
                <w:color w:val="0B1F3A"/>
                <w:sz w:val="17"/>
              </w:rPr>
              <w:t>Audience</w:t>
            </w:r>
          </w:p>
        </w:tc>
        <w:tc>
          <w:tcPr>
            <w:tcW w:w="5184" w:type="dxa"/>
            <w:vAlign w:val="center"/>
          </w:tcPr>
          <w:p w14:paraId="1C430A12" w14:textId="77777777" w:rsidR="0014539B" w:rsidRDefault="00000000">
            <w:r>
              <w:rPr>
                <w:sz w:val="17"/>
              </w:rPr>
              <w:t>CTO, architects, integration teams, security stakeholders</w:t>
            </w:r>
          </w:p>
        </w:tc>
      </w:tr>
      <w:tr w:rsidR="0014539B" w14:paraId="651CBAC1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5D4FD8D0" w14:textId="77777777" w:rsidR="0014539B" w:rsidRDefault="00000000">
            <w:r>
              <w:rPr>
                <w:b/>
                <w:color w:val="0B1F3A"/>
                <w:sz w:val="17"/>
              </w:rPr>
              <w:t>Purpose</w:t>
            </w:r>
          </w:p>
        </w:tc>
        <w:tc>
          <w:tcPr>
            <w:tcW w:w="5184" w:type="dxa"/>
            <w:vAlign w:val="center"/>
          </w:tcPr>
          <w:p w14:paraId="5B3D98D3" w14:textId="77777777" w:rsidR="0014539B" w:rsidRDefault="00000000">
            <w:r>
              <w:rPr>
                <w:sz w:val="17"/>
              </w:rPr>
              <w:t>Make the integration model clear and low-risk</w:t>
            </w:r>
          </w:p>
        </w:tc>
      </w:tr>
      <w:tr w:rsidR="0014539B" w14:paraId="5D5009D7" w14:textId="77777777">
        <w:trPr>
          <w:jc w:val="center"/>
        </w:trPr>
        <w:tc>
          <w:tcPr>
            <w:tcW w:w="5184" w:type="dxa"/>
            <w:shd w:val="clear" w:color="auto" w:fill="F4F8FC"/>
            <w:vAlign w:val="center"/>
          </w:tcPr>
          <w:p w14:paraId="1A3571BB" w14:textId="77777777" w:rsidR="0014539B" w:rsidRDefault="00000000">
            <w:r>
              <w:rPr>
                <w:b/>
                <w:color w:val="0B1F3A"/>
                <w:sz w:val="17"/>
              </w:rPr>
              <w:t>Scope</w:t>
            </w:r>
          </w:p>
        </w:tc>
        <w:tc>
          <w:tcPr>
            <w:tcW w:w="5184" w:type="dxa"/>
            <w:vAlign w:val="center"/>
          </w:tcPr>
          <w:p w14:paraId="0F58D0D4" w14:textId="77777777" w:rsidR="0014539B" w:rsidRDefault="00000000">
            <w:r>
              <w:rPr>
                <w:sz w:val="17"/>
              </w:rPr>
              <w:t>High-level only, no sensitive implementation details</w:t>
            </w:r>
          </w:p>
        </w:tc>
      </w:tr>
    </w:tbl>
    <w:p w14:paraId="6296591E" w14:textId="77777777" w:rsidR="0014539B" w:rsidRDefault="0014539B"/>
    <w:p w14:paraId="3CE5AFD6" w14:textId="77777777" w:rsidR="0014539B" w:rsidRDefault="00000000">
      <w:pPr>
        <w:pStyle w:val="Overskrift1"/>
      </w:pPr>
      <w:r>
        <w:rPr>
          <w:b w:val="0"/>
        </w:rPr>
        <w:t>Technical overview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68"/>
      </w:tblGrid>
      <w:tr w:rsidR="0014539B" w14:paraId="18251436" w14:textId="77777777">
        <w:tc>
          <w:tcPr>
            <w:tcW w:w="10368" w:type="dxa"/>
            <w:shd w:val="clear" w:color="auto" w:fill="F4F8FC"/>
          </w:tcPr>
          <w:p w14:paraId="529779B6" w14:textId="77777777" w:rsidR="0014539B" w:rsidRDefault="00000000">
            <w:r>
              <w:rPr>
                <w:b/>
                <w:color w:val="0B1F3A"/>
                <w:sz w:val="20"/>
              </w:rPr>
              <w:t>DigTic is API-first: partners integrate once, then issue and validate digital access across multiple use cases.</w:t>
            </w:r>
          </w:p>
        </w:tc>
      </w:tr>
    </w:tbl>
    <w:p w14:paraId="61850DF8" w14:textId="77777777" w:rsidR="0014539B" w:rsidRDefault="00000000">
      <w:r>
        <w:t>DigTic exposes a standardized access layer above existing systems. It is designed to integrate with partner platforms, not replace them.</w:t>
      </w:r>
    </w:p>
    <w:p w14:paraId="4875BF55" w14:textId="77777777" w:rsidR="0014539B" w:rsidRDefault="00000000">
      <w:pPr>
        <w:pStyle w:val="Overskrift1"/>
      </w:pPr>
      <w:r>
        <w:rPr>
          <w:b w:val="0"/>
        </w:rPr>
        <w:t>Integration model</w:t>
      </w:r>
    </w:p>
    <w:p w14:paraId="6839EA5B" w14:textId="77777777" w:rsidR="0014539B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REST-style API for issue, validate, use and revoke flows.</w:t>
      </w:r>
    </w:p>
    <w:p w14:paraId="10E09408" w14:textId="77777777" w:rsidR="0014539B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Partner systems call DigTic from booking, event, access-control or hotel systems.</w:t>
      </w:r>
    </w:p>
    <w:p w14:paraId="129BAAC2" w14:textId="77777777" w:rsidR="0014539B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Credentials are delivered to Apple Wallet or Google Wallet where relevant.</w:t>
      </w:r>
    </w:p>
    <w:p w14:paraId="78F2A2A0" w14:textId="77777777" w:rsidR="0014539B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Webhooks and lifecycle events can be added for partner workflows.</w:t>
      </w:r>
    </w:p>
    <w:p w14:paraId="0F55BF47" w14:textId="77777777" w:rsidR="0014539B" w:rsidRDefault="00000000">
      <w:pPr>
        <w:pStyle w:val="Overskrift1"/>
      </w:pPr>
      <w:r>
        <w:rPr>
          <w:b w:val="0"/>
        </w:rPr>
        <w:t>Security posture</w:t>
      </w:r>
    </w:p>
    <w:p w14:paraId="6797B0AD" w14:textId="77777777" w:rsidR="0014539B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Tenant isolation is enforced by API authorization and tenant-scoped state.</w:t>
      </w:r>
    </w:p>
    <w:p w14:paraId="4161CB4B" w14:textId="77777777" w:rsidR="0014539B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Access credentials are signed and validated before use.</w:t>
      </w:r>
    </w:p>
    <w:p w14:paraId="5FC0CC0B" w14:textId="77777777" w:rsidR="0014539B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Sensitive implementation details are kept out of public documentation.</w:t>
      </w:r>
    </w:p>
    <w:p w14:paraId="0260ACFF" w14:textId="77777777" w:rsidR="0014539B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Audit-friendly lifecycle events are stored for issue, validation, use and revoke actions.</w:t>
      </w:r>
    </w:p>
    <w:p w14:paraId="51D974CC" w14:textId="77777777" w:rsidR="0014539B" w:rsidRDefault="00000000">
      <w:pPr>
        <w:pStyle w:val="Overskrift1"/>
      </w:pPr>
      <w:r>
        <w:rPr>
          <w:b w:val="0"/>
        </w:rPr>
        <w:t>Data and GDPR principle</w:t>
      </w:r>
    </w:p>
    <w:p w14:paraId="1E629EDD" w14:textId="77777777" w:rsidR="0014539B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Use minimal personal data wherever possible.</w:t>
      </w:r>
    </w:p>
    <w:p w14:paraId="48754C37" w14:textId="77777777" w:rsidR="0014539B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Store operational state in the EU.</w:t>
      </w:r>
    </w:p>
    <w:p w14:paraId="56F9C234" w14:textId="77777777" w:rsidR="0014539B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Do not put personal data on any public proof layer.</w:t>
      </w:r>
    </w:p>
    <w:p w14:paraId="469C3821" w14:textId="77777777" w:rsidR="0014539B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Keep access decisions tied to tenant, ticket state, validity and usage rules.</w:t>
      </w:r>
    </w:p>
    <w:p w14:paraId="722231C3" w14:textId="77777777" w:rsidR="0014539B" w:rsidRDefault="00000000">
      <w:pPr>
        <w:pStyle w:val="Overskrift1"/>
      </w:pPr>
      <w:r>
        <w:rPr>
          <w:b w:val="0"/>
        </w:rPr>
        <w:t>What IT teams need to know</w:t>
      </w:r>
    </w:p>
    <w:p w14:paraId="24DBF5A3" w14:textId="77777777" w:rsidR="0014539B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No rip-and-replace is required. DigTic sits above existing systems.</w:t>
      </w:r>
    </w:p>
    <w:p w14:paraId="256B21FE" w14:textId="77777777" w:rsidR="0014539B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A pilot can start with one endpoint flow and one defined access scenario.</w:t>
      </w:r>
    </w:p>
    <w:p w14:paraId="1A03D475" w14:textId="77777777" w:rsidR="0014539B" w:rsidRDefault="00000000">
      <w:pPr>
        <w:ind w:left="259" w:hanging="173"/>
      </w:pPr>
      <w:r>
        <w:rPr>
          <w:b/>
          <w:color w:val="1E88E5"/>
          <w:sz w:val="18"/>
        </w:rPr>
        <w:lastRenderedPageBreak/>
        <w:t xml:space="preserve">• </w:t>
      </w:r>
      <w:r>
        <w:rPr>
          <w:sz w:val="18"/>
        </w:rPr>
        <w:t>The API model is designed to make later integrations faster.</w:t>
      </w:r>
    </w:p>
    <w:p w14:paraId="1FFA5569" w14:textId="77777777" w:rsidR="0014539B" w:rsidRDefault="00000000">
      <w:pPr>
        <w:ind w:left="259" w:hanging="173"/>
      </w:pPr>
      <w:r>
        <w:rPr>
          <w:b/>
          <w:color w:val="1E88E5"/>
          <w:sz w:val="18"/>
        </w:rPr>
        <w:t xml:space="preserve">• </w:t>
      </w:r>
      <w:r>
        <w:rPr>
          <w:sz w:val="18"/>
        </w:rPr>
        <w:t>Physical keycards and access badges can be replaced gradually or complemented during transition.</w:t>
      </w:r>
    </w:p>
    <w:p w14:paraId="61AB6CDE" w14:textId="77777777" w:rsidR="0014539B" w:rsidRDefault="00000000">
      <w:pPr>
        <w:pStyle w:val="Overskrift1"/>
      </w:pPr>
      <w:r>
        <w:rPr>
          <w:b w:val="0"/>
        </w:rPr>
        <w:t>Next step</w:t>
      </w:r>
    </w:p>
    <w:p w14:paraId="087C64AE" w14:textId="77777777" w:rsidR="0014539B" w:rsidRDefault="00000000">
      <w:r>
        <w:t>Start with a short pilot discussion. Select one concrete use case, one partner flow, and one measurable outcome.</w:t>
      </w:r>
    </w:p>
    <w:sectPr w:rsidR="0014539B" w:rsidSect="00034616">
      <w:headerReference w:type="default" r:id="rId8"/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63746" w14:textId="77777777" w:rsidR="00A35E25" w:rsidRDefault="00A35E25">
      <w:pPr>
        <w:spacing w:after="0" w:line="240" w:lineRule="auto"/>
      </w:pPr>
      <w:r>
        <w:separator/>
      </w:r>
    </w:p>
  </w:endnote>
  <w:endnote w:type="continuationSeparator" w:id="0">
    <w:p w14:paraId="5E71D37A" w14:textId="77777777" w:rsidR="00A35E25" w:rsidRDefault="00A35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396B" w14:textId="77777777" w:rsidR="0014539B" w:rsidRDefault="00000000">
    <w:pPr>
      <w:pStyle w:val="Bunntekst"/>
      <w:jc w:val="center"/>
    </w:pPr>
    <w:r>
      <w:rPr>
        <w:color w:val="4B5563"/>
        <w:sz w:val="16"/>
      </w:rPr>
      <w:t>DigTic AS | Digital Ticket &amp; Access Infrastructure |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FE15C" w14:textId="77777777" w:rsidR="00A35E25" w:rsidRDefault="00A35E25">
      <w:pPr>
        <w:spacing w:after="0" w:line="240" w:lineRule="auto"/>
      </w:pPr>
      <w:r>
        <w:separator/>
      </w:r>
    </w:p>
  </w:footnote>
  <w:footnote w:type="continuationSeparator" w:id="0">
    <w:p w14:paraId="3730E354" w14:textId="77777777" w:rsidR="00A35E25" w:rsidRDefault="00A35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57F1" w14:textId="2449DA8A" w:rsidR="0014539B" w:rsidRDefault="00295B11" w:rsidP="00295B11">
    <w:pPr>
      <w:pStyle w:val="Topptekst"/>
      <w:jc w:val="center"/>
    </w:pPr>
    <w:r>
      <w:rPr>
        <w:b/>
        <w:noProof/>
        <w:color w:val="1E88E5"/>
        <w:sz w:val="24"/>
      </w:rPr>
      <w:drawing>
        <wp:inline distT="0" distB="0" distL="0" distR="0" wp14:anchorId="405197BB" wp14:editId="1536B23C">
          <wp:extent cx="1510748" cy="598442"/>
          <wp:effectExtent l="0" t="0" r="0" b="0"/>
          <wp:docPr id="79232023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109" cy="605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b/>
        <w:color w:val="1E88E5"/>
        <w:sz w:val="24"/>
      </w:rPr>
      <w:t>DigTic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2494391">
    <w:abstractNumId w:val="8"/>
  </w:num>
  <w:num w:numId="2" w16cid:durableId="204100500">
    <w:abstractNumId w:val="6"/>
  </w:num>
  <w:num w:numId="3" w16cid:durableId="2134790116">
    <w:abstractNumId w:val="5"/>
  </w:num>
  <w:num w:numId="4" w16cid:durableId="1745489266">
    <w:abstractNumId w:val="4"/>
  </w:num>
  <w:num w:numId="5" w16cid:durableId="1943603999">
    <w:abstractNumId w:val="7"/>
  </w:num>
  <w:num w:numId="6" w16cid:durableId="2024549545">
    <w:abstractNumId w:val="3"/>
  </w:num>
  <w:num w:numId="7" w16cid:durableId="839852171">
    <w:abstractNumId w:val="2"/>
  </w:num>
  <w:num w:numId="8" w16cid:durableId="1227909314">
    <w:abstractNumId w:val="1"/>
  </w:num>
  <w:num w:numId="9" w16cid:durableId="141127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539B"/>
    <w:rsid w:val="0015074B"/>
    <w:rsid w:val="00295B11"/>
    <w:rsid w:val="0029639D"/>
    <w:rsid w:val="00326F90"/>
    <w:rsid w:val="007E2D97"/>
    <w:rsid w:val="00A35E25"/>
    <w:rsid w:val="00AA1D8D"/>
    <w:rsid w:val="00B47730"/>
    <w:rsid w:val="00CB0664"/>
    <w:rsid w:val="00CE79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FEDF64"/>
  <w14:defaultImageDpi w14:val="300"/>
  <w15:docId w15:val="{9A2586FE-874F-4574-BC85-CA5774DF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ptos" w:eastAsia="Aptos" w:hAnsi="Aptos"/>
      <w:sz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1F3A"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E88E5"/>
      <w:sz w:val="2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1F3A"/>
      <w:spacing w:val="5"/>
      <w:kern w:val="28"/>
      <w:sz w:val="46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Halvard Balto</cp:lastModifiedBy>
  <cp:revision>3</cp:revision>
  <dcterms:created xsi:type="dcterms:W3CDTF">2026-04-24T14:57:00Z</dcterms:created>
  <dcterms:modified xsi:type="dcterms:W3CDTF">2026-04-24T14:57:00Z</dcterms:modified>
  <cp:category/>
</cp:coreProperties>
</file>